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1E1011" w:rsidRDefault="001E1011" w:rsidP="001E101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号试题</w:t>
      </w:r>
      <w:bookmarkStart w:id="0" w:name="_GoBack"/>
      <w:bookmarkEnd w:id="0"/>
    </w:p>
    <w:p w:rsidR="001E1011" w:rsidRDefault="001E1011" w:rsidP="001E1011">
      <w:pPr>
        <w:spacing w:line="360" w:lineRule="auto"/>
      </w:pPr>
    </w:p>
    <w:p w:rsidR="001E1011" w:rsidRDefault="001E1011" w:rsidP="001E1011">
      <w:pPr>
        <w:spacing w:line="360" w:lineRule="auto"/>
      </w:pPr>
      <w:r>
        <w:rPr>
          <w:rFonts w:hint="eastAsia"/>
        </w:rPr>
        <w:t xml:space="preserve">　　四川台记者报道：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日，作为</w:t>
      </w:r>
      <w:proofErr w:type="gramStart"/>
      <w:r>
        <w:rPr>
          <w:rFonts w:hint="eastAsia"/>
        </w:rPr>
        <w:t>汶</w:t>
      </w:r>
      <w:proofErr w:type="gramEnd"/>
      <w:r>
        <w:rPr>
          <w:rFonts w:hint="eastAsia"/>
        </w:rPr>
        <w:t>川大地震</w:t>
      </w:r>
      <w:proofErr w:type="gramStart"/>
      <w:r>
        <w:rPr>
          <w:rFonts w:hint="eastAsia"/>
        </w:rPr>
        <w:t>极</w:t>
      </w:r>
      <w:proofErr w:type="gramEnd"/>
      <w:r>
        <w:rPr>
          <w:rFonts w:hint="eastAsia"/>
        </w:rPr>
        <w:t>重灾区的幸存者，王天林一家三口和同样来自四川省青川县的</w:t>
      </w:r>
      <w:r>
        <w:rPr>
          <w:rFonts w:hint="eastAsia"/>
        </w:rPr>
        <w:t>80</w:t>
      </w:r>
      <w:r>
        <w:rPr>
          <w:rFonts w:hint="eastAsia"/>
        </w:rPr>
        <w:t>户、</w:t>
      </w:r>
      <w:r>
        <w:rPr>
          <w:rFonts w:hint="eastAsia"/>
        </w:rPr>
        <w:t>297</w:t>
      </w:r>
      <w:r>
        <w:rPr>
          <w:rFonts w:hint="eastAsia"/>
        </w:rPr>
        <w:t>名灾民，离开了他们世代生活的故乡，作为首批地震移民，来到成都市下辖的邛崃市南宝山农场，在这里开始他们的新生活。截至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日，青川县已在本地安置了</w:t>
      </w:r>
      <w:r>
        <w:rPr>
          <w:rFonts w:hint="eastAsia"/>
        </w:rPr>
        <w:t>5.6</w:t>
      </w:r>
      <w:r>
        <w:rPr>
          <w:rFonts w:hint="eastAsia"/>
        </w:rPr>
        <w:t>万户、</w:t>
      </w:r>
      <w:r>
        <w:rPr>
          <w:rFonts w:hint="eastAsia"/>
        </w:rPr>
        <w:t>19.7</w:t>
      </w:r>
      <w:r>
        <w:rPr>
          <w:rFonts w:hint="eastAsia"/>
        </w:rPr>
        <w:t>万人，仅剩下近</w:t>
      </w:r>
      <w:r>
        <w:rPr>
          <w:rFonts w:hint="eastAsia"/>
        </w:rPr>
        <w:t>600</w:t>
      </w:r>
      <w:r>
        <w:rPr>
          <w:rFonts w:hint="eastAsia"/>
        </w:rPr>
        <w:t>人无法重返家园，因为他们的耕地、宅基地已全部毁坏。这些灾民向当地政府申请外迁异地安置。按照四川省政府的统一规划，灾民在实地考察了距离成都市约</w:t>
      </w:r>
      <w:r>
        <w:rPr>
          <w:rFonts w:hint="eastAsia"/>
        </w:rPr>
        <w:t>100</w:t>
      </w:r>
      <w:r>
        <w:rPr>
          <w:rFonts w:hint="eastAsia"/>
        </w:rPr>
        <w:t>公里的邛崃市南宝山农场后，有</w:t>
      </w:r>
      <w:r>
        <w:rPr>
          <w:rFonts w:hint="eastAsia"/>
        </w:rPr>
        <w:t>152</w:t>
      </w:r>
      <w:r>
        <w:rPr>
          <w:rFonts w:hint="eastAsia"/>
        </w:rPr>
        <w:t>户、</w:t>
      </w:r>
      <w:r>
        <w:rPr>
          <w:rFonts w:hint="eastAsia"/>
        </w:rPr>
        <w:t>572</w:t>
      </w:r>
      <w:r>
        <w:rPr>
          <w:rFonts w:hint="eastAsia"/>
        </w:rPr>
        <w:t>人自愿移民到这里。</w:t>
      </w:r>
      <w:r>
        <w:rPr>
          <w:rFonts w:hint="eastAsia"/>
        </w:rPr>
        <w:cr/>
      </w:r>
    </w:p>
    <w:p w:rsidR="001E1011" w:rsidRDefault="001E1011" w:rsidP="001E1011">
      <w:pPr>
        <w:spacing w:line="360" w:lineRule="auto"/>
      </w:pPr>
    </w:p>
    <w:p w:rsidR="001E1011" w:rsidRDefault="001E1011" w:rsidP="001E101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号试题</w:t>
      </w:r>
    </w:p>
    <w:p w:rsidR="001E1011" w:rsidRDefault="001E1011" w:rsidP="001E1011">
      <w:pPr>
        <w:spacing w:line="360" w:lineRule="auto"/>
      </w:pPr>
    </w:p>
    <w:p w:rsidR="001E1011" w:rsidRDefault="001E1011" w:rsidP="001E101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中央台消息：改革开放以来，中央先后四次召开西藏工作座谈会，对西藏维护稳定、深化改革、加快发展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许多决策部署，全国对口支援西藏就是其中的一项重要内容。根据《西藏民主改革</w:t>
      </w:r>
      <w:r>
        <w:rPr>
          <w:rFonts w:hint="eastAsia"/>
        </w:rPr>
        <w:t>50</w:t>
      </w:r>
      <w:r>
        <w:rPr>
          <w:rFonts w:hint="eastAsia"/>
        </w:rPr>
        <w:t>年》白皮书，</w:t>
      </w:r>
      <w:r>
        <w:rPr>
          <w:rFonts w:hint="eastAsia"/>
        </w:rPr>
        <w:t>1994</w:t>
      </w:r>
      <w:r>
        <w:rPr>
          <w:rFonts w:hint="eastAsia"/>
        </w:rPr>
        <w:t>年以来，中央先后安排</w:t>
      </w:r>
      <w:r>
        <w:rPr>
          <w:rFonts w:hint="eastAsia"/>
        </w:rPr>
        <w:t>60</w:t>
      </w:r>
      <w:r>
        <w:rPr>
          <w:rFonts w:hint="eastAsia"/>
        </w:rPr>
        <w:t>多个中央国家机关、全国</w:t>
      </w:r>
      <w:r>
        <w:rPr>
          <w:rFonts w:hint="eastAsia"/>
        </w:rPr>
        <w:t>18</w:t>
      </w:r>
      <w:r>
        <w:rPr>
          <w:rFonts w:hint="eastAsia"/>
        </w:rPr>
        <w:t>个省市和</w:t>
      </w:r>
      <w:r>
        <w:rPr>
          <w:rFonts w:hint="eastAsia"/>
        </w:rPr>
        <w:t>17</w:t>
      </w:r>
      <w:r>
        <w:rPr>
          <w:rFonts w:hint="eastAsia"/>
        </w:rPr>
        <w:t>个中央企业对口支援西藏经济建设。截至</w:t>
      </w:r>
      <w:r>
        <w:rPr>
          <w:rFonts w:hint="eastAsia"/>
        </w:rPr>
        <w:t>2008</w:t>
      </w:r>
      <w:r>
        <w:rPr>
          <w:rFonts w:hint="eastAsia"/>
        </w:rPr>
        <w:t>年底，已累计投入对口援藏资金达</w:t>
      </w:r>
      <w:r>
        <w:rPr>
          <w:rFonts w:hint="eastAsia"/>
        </w:rPr>
        <w:t>111.28</w:t>
      </w:r>
      <w:r>
        <w:rPr>
          <w:rFonts w:hint="eastAsia"/>
        </w:rPr>
        <w:t>亿元，安排</w:t>
      </w:r>
      <w:r>
        <w:rPr>
          <w:rFonts w:hint="eastAsia"/>
        </w:rPr>
        <w:t>6056</w:t>
      </w:r>
      <w:r>
        <w:rPr>
          <w:rFonts w:hint="eastAsia"/>
        </w:rPr>
        <w:t>个对口援藏项目，选派</w:t>
      </w:r>
      <w:r>
        <w:rPr>
          <w:rFonts w:hint="eastAsia"/>
        </w:rPr>
        <w:t>3747</w:t>
      </w:r>
      <w:r>
        <w:rPr>
          <w:rFonts w:hint="eastAsia"/>
        </w:rPr>
        <w:t>名援藏干部进藏工作。</w:t>
      </w:r>
    </w:p>
    <w:p w:rsidR="001E1011" w:rsidRDefault="001E1011" w:rsidP="001E1011">
      <w:pPr>
        <w:spacing w:line="360" w:lineRule="auto"/>
      </w:pPr>
    </w:p>
    <w:p w:rsidR="001E1011" w:rsidRDefault="001E1011" w:rsidP="001E101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>号试题</w:t>
      </w:r>
    </w:p>
    <w:p w:rsidR="001E1011" w:rsidRDefault="001E1011" w:rsidP="001E1011">
      <w:pPr>
        <w:spacing w:line="360" w:lineRule="auto"/>
      </w:pPr>
    </w:p>
    <w:p w:rsidR="001E1011" w:rsidRDefault="001E1011" w:rsidP="001E101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四川台消息：为感恩回报社会各界对四川旅游灾后重建的大力支持，进一步拉动内需，四川省全部</w:t>
      </w:r>
      <w:r>
        <w:rPr>
          <w:rFonts w:hint="eastAsia"/>
        </w:rPr>
        <w:t>21</w:t>
      </w:r>
      <w:r>
        <w:rPr>
          <w:rFonts w:hint="eastAsia"/>
        </w:rPr>
        <w:t>个市州整体推出了旅游“价格洼地”的优惠政策，包括九寨沟、峨眉山、乐山大佛、海螺沟等在内的全省数百景区将在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日当天，免费向游客开放；数百景区在</w:t>
      </w:r>
      <w:r>
        <w:rPr>
          <w:rFonts w:hint="eastAsia"/>
        </w:rPr>
        <w:t>5</w:t>
      </w:r>
      <w:r>
        <w:rPr>
          <w:rFonts w:hint="eastAsia"/>
        </w:rPr>
        <w:t>月其余时间，实行门票半价优惠；不少景区还对</w:t>
      </w:r>
      <w:r>
        <w:rPr>
          <w:rFonts w:hint="eastAsia"/>
        </w:rPr>
        <w:t>2009</w:t>
      </w:r>
      <w:r>
        <w:rPr>
          <w:rFonts w:hint="eastAsia"/>
        </w:rPr>
        <w:t>年持有台北动物园“团团、圆圆参观门票”的游客实行门票全免或半价的优惠。</w:t>
      </w:r>
    </w:p>
    <w:p w:rsidR="001E1011" w:rsidRDefault="001E1011" w:rsidP="001E1011">
      <w:pPr>
        <w:spacing w:line="360" w:lineRule="auto"/>
      </w:pPr>
    </w:p>
    <w:p w:rsidR="001E1011" w:rsidRDefault="001E1011" w:rsidP="001E101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4</w:t>
      </w:r>
      <w:r>
        <w:rPr>
          <w:rFonts w:hint="eastAsia"/>
        </w:rPr>
        <w:t>号试题</w:t>
      </w:r>
    </w:p>
    <w:p w:rsidR="001E1011" w:rsidRDefault="001E1011" w:rsidP="001E1011">
      <w:pPr>
        <w:spacing w:line="360" w:lineRule="auto"/>
      </w:pPr>
    </w:p>
    <w:p w:rsidR="001E1011" w:rsidRDefault="001E1011" w:rsidP="001E101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中新社消息：国资委第二</w:t>
      </w:r>
      <w:proofErr w:type="gramStart"/>
      <w:r>
        <w:rPr>
          <w:rFonts w:hint="eastAsia"/>
        </w:rPr>
        <w:t>单央企</w:t>
      </w:r>
      <w:proofErr w:type="gramEnd"/>
      <w:r>
        <w:rPr>
          <w:rFonts w:hint="eastAsia"/>
        </w:rPr>
        <w:t>注资计划即将启动，电力</w:t>
      </w:r>
      <w:proofErr w:type="gramStart"/>
      <w:r>
        <w:rPr>
          <w:rFonts w:hint="eastAsia"/>
        </w:rPr>
        <w:t>央企将</w:t>
      </w:r>
      <w:proofErr w:type="gramEnd"/>
      <w:r>
        <w:rPr>
          <w:rFonts w:hint="eastAsia"/>
        </w:rPr>
        <w:t>成为“国资委注资的下</w:t>
      </w:r>
      <w:r>
        <w:rPr>
          <w:rFonts w:hint="eastAsia"/>
        </w:rPr>
        <w:lastRenderedPageBreak/>
        <w:t>一个受益者”。国资委第二单注资规模在</w:t>
      </w:r>
      <w:r>
        <w:rPr>
          <w:rFonts w:hint="eastAsia"/>
        </w:rPr>
        <w:t>100</w:t>
      </w:r>
      <w:r>
        <w:rPr>
          <w:rFonts w:hint="eastAsia"/>
        </w:rPr>
        <w:t>亿元左右，注资对象包括五家电力集团和两家电网公司。至此，在东航、南航两大航空集团公司相继获国资委注资后，国资委第二个“大礼包”终于浮出水面。国家电网相关人士认为，此次注资主要是弥补这些电力</w:t>
      </w:r>
      <w:proofErr w:type="gramStart"/>
      <w:r>
        <w:rPr>
          <w:rFonts w:hint="eastAsia"/>
        </w:rPr>
        <w:t>央企因</w:t>
      </w:r>
      <w:proofErr w:type="gramEnd"/>
      <w:r>
        <w:rPr>
          <w:rFonts w:hint="eastAsia"/>
        </w:rPr>
        <w:t>政策性亏损和受冰灾和震灾造成的破坏损失。</w:t>
      </w:r>
    </w:p>
    <w:p w:rsidR="001E1011" w:rsidRDefault="001E1011" w:rsidP="001E1011">
      <w:pPr>
        <w:spacing w:line="360" w:lineRule="auto"/>
      </w:pPr>
    </w:p>
    <w:p w:rsidR="001E1011" w:rsidRDefault="001E1011" w:rsidP="001E101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5</w:t>
      </w:r>
      <w:r>
        <w:rPr>
          <w:rFonts w:hint="eastAsia"/>
        </w:rPr>
        <w:t>号试题</w:t>
      </w:r>
    </w:p>
    <w:p w:rsidR="001E1011" w:rsidRDefault="001E1011" w:rsidP="001E1011">
      <w:pPr>
        <w:spacing w:line="360" w:lineRule="auto"/>
      </w:pPr>
    </w:p>
    <w:p w:rsidR="001E1011" w:rsidRDefault="001E1011" w:rsidP="001E101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江苏卫视记者报道：昨天，《徐州市计算机信息系统安全保护条例》经江苏省十一届人大常委会第七次会议通过，将于今年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日起生效。该条例对计算机安全等级管理、法律责任等，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了详尽规定，特别是对近来社会广泛关注的“人肉搜索”，该条例明确“说不”。根据这一条例，未经允许，擅自散布他人隐私，或在网上提供或公开他人的信息资料，对发布者、传播者等违法行为人，最多可罚款</w:t>
      </w:r>
      <w:r>
        <w:rPr>
          <w:rFonts w:hint="eastAsia"/>
        </w:rPr>
        <w:t>5000</w:t>
      </w:r>
      <w:r>
        <w:rPr>
          <w:rFonts w:hint="eastAsia"/>
        </w:rPr>
        <w:t>元。</w:t>
      </w:r>
    </w:p>
    <w:p w:rsidR="001E1011" w:rsidRDefault="001E1011" w:rsidP="001E1011">
      <w:pPr>
        <w:spacing w:line="360" w:lineRule="auto"/>
      </w:pPr>
    </w:p>
    <w:p w:rsidR="001E1011" w:rsidRPr="001E1011" w:rsidRDefault="001E1011" w:rsidP="001E1011">
      <w:pPr>
        <w:spacing w:line="360" w:lineRule="auto"/>
      </w:pPr>
      <w:r>
        <w:rPr>
          <w:rFonts w:hint="eastAsia"/>
        </w:rPr>
        <w:t xml:space="preserve">　　</w:t>
      </w:r>
    </w:p>
    <w:sectPr w:rsidR="001E1011" w:rsidRPr="001E1011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3E6" w:rsidRDefault="002A23E6" w:rsidP="001E1011">
      <w:r>
        <w:separator/>
      </w:r>
    </w:p>
  </w:endnote>
  <w:endnote w:type="continuationSeparator" w:id="0">
    <w:p w:rsidR="002A23E6" w:rsidRDefault="002A23E6" w:rsidP="001E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3E6" w:rsidRDefault="002A23E6" w:rsidP="001E1011">
      <w:r>
        <w:separator/>
      </w:r>
    </w:p>
  </w:footnote>
  <w:footnote w:type="continuationSeparator" w:id="0">
    <w:p w:rsidR="002A23E6" w:rsidRDefault="002A23E6" w:rsidP="001E1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011" w:rsidRDefault="001E1011" w:rsidP="001E1011">
    <w:pPr>
      <w:pStyle w:val="a3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4FF8A15B" wp14:editId="10530D02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proofErr w:type="gramStart"/>
    <w:r>
      <w:rPr>
        <w:rStyle w:val="a5"/>
        <w:rFonts w:hint="eastAsia"/>
        <w:b/>
        <w:sz w:val="21"/>
        <w:szCs w:val="21"/>
      </w:rPr>
      <w:t>艺考真</w:t>
    </w:r>
    <w:proofErr w:type="gramEnd"/>
    <w:r>
      <w:rPr>
        <w:rStyle w:val="a5"/>
        <w:rFonts w:hint="eastAsia"/>
        <w:b/>
        <w:sz w:val="21"/>
        <w:szCs w:val="21"/>
      </w:rPr>
      <w:t>题及答案解析</w:t>
    </w:r>
    <w:proofErr w:type="gramStart"/>
    <w:r>
      <w:rPr>
        <w:rStyle w:val="a5"/>
        <w:rFonts w:hint="eastAsia"/>
        <w:b/>
        <w:sz w:val="21"/>
        <w:szCs w:val="21"/>
      </w:rPr>
      <w:t>在艺考时光</w:t>
    </w:r>
    <w:proofErr w:type="gramEnd"/>
    <w:r>
      <w:rPr>
        <w:rStyle w:val="a5"/>
        <w:rFonts w:hint="eastAsia"/>
        <w:b/>
        <w:sz w:val="21"/>
        <w:szCs w:val="21"/>
      </w:rPr>
      <w:t>网（</w:t>
    </w:r>
    <w:hyperlink r:id="rId2" w:history="1">
      <w:r>
        <w:rPr>
          <w:rStyle w:val="a5"/>
          <w:b/>
          <w:sz w:val="21"/>
          <w:szCs w:val="21"/>
        </w:rPr>
        <w:t>www.yktime.cn</w:t>
      </w:r>
    </w:hyperlink>
    <w:r>
      <w:rPr>
        <w:rStyle w:val="a5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32D"/>
    <w:rsid w:val="001E1011"/>
    <w:rsid w:val="002A23E6"/>
    <w:rsid w:val="00BF2FFA"/>
    <w:rsid w:val="00EE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0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10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10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10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1011"/>
    <w:rPr>
      <w:sz w:val="18"/>
      <w:szCs w:val="18"/>
    </w:rPr>
  </w:style>
  <w:style w:type="character" w:styleId="a5">
    <w:name w:val="Hyperlink"/>
    <w:uiPriority w:val="99"/>
    <w:semiHidden/>
    <w:unhideWhenUsed/>
    <w:rsid w:val="001E1011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1E101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10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0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10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10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10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1011"/>
    <w:rPr>
      <w:sz w:val="18"/>
      <w:szCs w:val="18"/>
    </w:rPr>
  </w:style>
  <w:style w:type="character" w:styleId="a5">
    <w:name w:val="Hyperlink"/>
    <w:uiPriority w:val="99"/>
    <w:semiHidden/>
    <w:unhideWhenUsed/>
    <w:rsid w:val="001E1011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1E101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10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</Words>
  <Characters>901</Characters>
  <Application>Microsoft Office Word</Application>
  <DocSecurity>0</DocSecurity>
  <Lines>7</Lines>
  <Paragraphs>2</Paragraphs>
  <ScaleCrop>false</ScaleCrop>
  <Company>微软中国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2018-06-24T04:25:00Z</dcterms:created>
  <dcterms:modified xsi:type="dcterms:W3CDTF">2018-06-24T04:27:00Z</dcterms:modified>
</cp:coreProperties>
</file>